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6210" w14:textId="7161C9BB" w:rsidR="004164DC" w:rsidRPr="004164DC" w:rsidRDefault="004164DC" w:rsidP="004164DC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162427238"/>
      <w:r w:rsidRPr="009D320A">
        <w:rPr>
          <w:rFonts w:ascii="Arial" w:hAnsi="Arial" w:cs="Arial"/>
          <w:b/>
          <w:bCs/>
          <w:i/>
          <w:iCs/>
          <w:sz w:val="28"/>
          <w:szCs w:val="28"/>
        </w:rPr>
        <w:t>Check-list</w:t>
      </w:r>
      <w:r w:rsidRPr="004164DC">
        <w:rPr>
          <w:rFonts w:ascii="Arial" w:hAnsi="Arial" w:cs="Arial"/>
          <w:b/>
          <w:bCs/>
          <w:sz w:val="28"/>
          <w:szCs w:val="28"/>
        </w:rPr>
        <w:t xml:space="preserve"> d’accueil et d’intégration</w:t>
      </w:r>
      <w:r>
        <w:rPr>
          <w:rFonts w:ascii="Arial" w:hAnsi="Arial" w:cs="Arial"/>
          <w:b/>
          <w:bCs/>
          <w:sz w:val="28"/>
          <w:szCs w:val="28"/>
        </w:rPr>
        <w:t xml:space="preserve"> (t</w:t>
      </w:r>
      <w:r w:rsidRPr="004164DC">
        <w:rPr>
          <w:rFonts w:ascii="Arial" w:hAnsi="Arial" w:cs="Arial"/>
          <w:b/>
          <w:bCs/>
          <w:sz w:val="28"/>
          <w:szCs w:val="28"/>
        </w:rPr>
        <w:t>ableau 7.15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W w:w="957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8930"/>
      </w:tblGrid>
      <w:tr w:rsidR="004164DC" w:rsidRPr="004164DC" w14:paraId="7BF54A60" w14:textId="77777777" w:rsidTr="009D320A">
        <w:trPr>
          <w:trHeight w:val="60"/>
          <w:tblHeader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ADF3A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000000" w:fill="auto"/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54F2A6C9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Objet</w:t>
            </w:r>
          </w:p>
        </w:tc>
      </w:tr>
      <w:tr w:rsidR="004164DC" w:rsidRPr="004164DC" w14:paraId="27CB0C8C" w14:textId="77777777" w:rsidTr="009D320A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335185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Avant l’arrivée de la personne embauchée</w:t>
            </w:r>
          </w:p>
        </w:tc>
      </w:tr>
      <w:tr w:rsidR="004164DC" w:rsidRPr="004164DC" w14:paraId="1312B77C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D174C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930" w:type="dxa"/>
            <w:tcBorders>
              <w:right w:val="single" w:sz="6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1263A08B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Établir un programme d’intégration, d’information et de formation en fonction des spécificités du service et du poste ; en particulier, déterminer et organiser le mode d’accueil approprié pour cette personne.</w:t>
            </w:r>
          </w:p>
        </w:tc>
      </w:tr>
      <w:tr w:rsidR="004164DC" w:rsidRPr="004164DC" w14:paraId="11B4E570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D25C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930" w:type="dxa"/>
            <w:tcBorders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7033E3BE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Désigner une personne de confiance, volontaire et formée, qui devra s’occuper personnellement de la nouvelle recrue (le parrain ou la marraine).</w:t>
            </w:r>
          </w:p>
        </w:tc>
      </w:tr>
      <w:tr w:rsidR="004164DC" w:rsidRPr="004164DC" w14:paraId="558A896D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2C570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27ED4C08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Préparer le poste de travail de cette personne (locaux et matériel à disposition, accès informatiques, clés, etc.)</w:t>
            </w:r>
          </w:p>
        </w:tc>
      </w:tr>
      <w:tr w:rsidR="004164DC" w:rsidRPr="004164DC" w14:paraId="7C89CA92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6EF1E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70D0278A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Renseigner toutes les personnes qui auront affaire à cette personne (personnel de la réception, autres cadres du service, personnes d’autres services, etc.).</w:t>
            </w:r>
          </w:p>
        </w:tc>
      </w:tr>
      <w:tr w:rsidR="004164DC" w:rsidRPr="004164DC" w14:paraId="7361A5FC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D438A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0898379C" w14:textId="77777777" w:rsidR="00EB46D1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Informer ses collègues direct·es, voire le service, de l’arrivée de cette personne (par messagerie, par exemple).</w:t>
            </w:r>
          </w:p>
          <w:p w14:paraId="5C84F2C0" w14:textId="6A4F730B" w:rsidR="00EB46D1" w:rsidRPr="004164DC" w:rsidRDefault="00EB46D1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4DC" w:rsidRPr="004164DC" w14:paraId="4CE5D411" w14:textId="77777777" w:rsidTr="009D320A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9A684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Le jour de l’arrivée de la personne embauchée</w:t>
            </w:r>
          </w:p>
        </w:tc>
      </w:tr>
      <w:tr w:rsidR="004164DC" w:rsidRPr="004164DC" w14:paraId="5E06978A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58045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7616A6B6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Présenter cette personne à celle qui a été désignée comme sa « marraine » ou son « parrain » + la ou le répondant·e RH.</w:t>
            </w:r>
          </w:p>
        </w:tc>
      </w:tr>
      <w:tr w:rsidR="004164DC" w:rsidRPr="004164DC" w14:paraId="103D30EB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07A0D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4D87144C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Introduire la personne dans son nouveau poste.</w:t>
            </w:r>
          </w:p>
          <w:p w14:paraId="52227DB4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Présentation du service : vue d’ensemble, organigramme, rapports avec d’autres secteurs, voies hiérarchiques, etc.</w:t>
            </w:r>
          </w:p>
        </w:tc>
      </w:tr>
      <w:tr w:rsidR="004164DC" w:rsidRPr="004164DC" w14:paraId="382782AF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8A68A3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56DCF0B5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Présentation :</w:t>
            </w:r>
          </w:p>
          <w:p w14:paraId="750B3222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</w:t>
            </w:r>
            <w:r w:rsidRPr="004164DC">
              <w:rPr>
                <w:rFonts w:ascii="Arial" w:hAnsi="Arial" w:cs="Arial"/>
                <w:sz w:val="22"/>
                <w:szCs w:val="22"/>
              </w:rPr>
              <w:t> </w:t>
            </w:r>
            <w:r w:rsidRPr="004164DC">
              <w:rPr>
                <w:rFonts w:ascii="Arial" w:hAnsi="Arial" w:cs="Arial"/>
                <w:sz w:val="22"/>
                <w:szCs w:val="22"/>
              </w:rPr>
              <w:t>de la place de travail (PC, outils, documentation, etc.) ;</w:t>
            </w:r>
          </w:p>
          <w:p w14:paraId="498F2F26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</w:t>
            </w:r>
            <w:r w:rsidRPr="004164DC">
              <w:rPr>
                <w:rFonts w:ascii="Arial" w:hAnsi="Arial" w:cs="Arial"/>
                <w:sz w:val="22"/>
                <w:szCs w:val="22"/>
              </w:rPr>
              <w:t> </w:t>
            </w:r>
            <w:r w:rsidRPr="004164DC">
              <w:rPr>
                <w:rFonts w:ascii="Arial" w:hAnsi="Arial" w:cs="Arial"/>
                <w:sz w:val="22"/>
                <w:szCs w:val="22"/>
              </w:rPr>
              <w:t>des locaux et matériels communs (cafétéria, photocopieuse, etc.).</w:t>
            </w:r>
          </w:p>
          <w:p w14:paraId="151094C2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Lui remettre la (les) clé(s), identifiants et accès nécessaires.</w:t>
            </w:r>
          </w:p>
        </w:tc>
      </w:tr>
      <w:tr w:rsidR="004164DC" w:rsidRPr="004164DC" w14:paraId="76AB801B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D53DB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0616E210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Commenter sa description de poste. Préciser ses droits et devoirs ainsi que le cadre de ses compétences.</w:t>
            </w:r>
          </w:p>
          <w:p w14:paraId="36EB29B3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Aborder les aspects administratifs (horaire, congé, vacances, etc.).</w:t>
            </w:r>
          </w:p>
        </w:tc>
      </w:tr>
      <w:tr w:rsidR="004164DC" w:rsidRPr="004164DC" w14:paraId="45D324C0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81F9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40ACF22B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Organiser la formation spécifique liée au poste de travail (outils, documents utiles, etc.).</w:t>
            </w:r>
          </w:p>
        </w:tc>
      </w:tr>
      <w:tr w:rsidR="004164DC" w:rsidRPr="004164DC" w14:paraId="6DD999AF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5BE61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38D566E8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Informer sur les possibilités de transport et les horaires (si le service est excentré).</w:t>
            </w:r>
          </w:p>
        </w:tc>
      </w:tr>
      <w:tr w:rsidR="004164DC" w:rsidRPr="004164DC" w14:paraId="301DBE54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9D2BF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5846D31C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Confier des premières tâches bien délimitées (pour commencer la collaboration sur des réussites).</w:t>
            </w:r>
          </w:p>
        </w:tc>
      </w:tr>
      <w:tr w:rsidR="004164DC" w:rsidRPr="004164DC" w14:paraId="1C186148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B583D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3414C6B8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Fixer un entretien au terme de la première semaine.</w:t>
            </w:r>
          </w:p>
        </w:tc>
      </w:tr>
      <w:tr w:rsidR="004164DC" w:rsidRPr="004164DC" w14:paraId="32C7B5F2" w14:textId="77777777" w:rsidTr="009D320A">
        <w:trPr>
          <w:trHeight w:val="60"/>
        </w:trPr>
        <w:tc>
          <w:tcPr>
            <w:tcW w:w="649" w:type="dxa"/>
            <w:tcBorders>
              <w:top w:val="none" w:sz="4" w:space="0" w:color="000000"/>
              <w:left w:val="single" w:sz="2" w:space="0" w:color="000000"/>
              <w:right w:val="non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8C040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5DD440D3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Indiquer à qui il convient de s’adresser en cas de problèmes ou de renseignements d’ordre général (en cas d’absence du parrain ou de la marraine).</w:t>
            </w:r>
          </w:p>
        </w:tc>
      </w:tr>
      <w:tr w:rsidR="004164DC" w:rsidRPr="004164DC" w14:paraId="63ED9F2A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BCFD8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1E815D86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Aborder la question de la sécurité et des consignes à observer en cas d’accident.</w:t>
            </w:r>
          </w:p>
        </w:tc>
      </w:tr>
      <w:tr w:rsidR="004164DC" w:rsidRPr="004164DC" w14:paraId="4FEEE74C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00505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51CD66D5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Parler des séminaires d’introduction/présentation de l’entreprise pour le nouveau personnel.</w:t>
            </w:r>
          </w:p>
        </w:tc>
      </w:tr>
      <w:tr w:rsidR="004164DC" w:rsidRPr="004164DC" w14:paraId="441ED064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C3A5C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0AC7968B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Mettre à disposition la documentation propre au service :</w:t>
            </w:r>
          </w:p>
          <w:p w14:paraId="25E7120A" w14:textId="77777777" w:rsidR="004164DC" w:rsidRPr="004164DC" w:rsidRDefault="004164DC" w:rsidP="00F1292F">
            <w:pPr>
              <w:pStyle w:val="07-Tableau00-P-Print"/>
              <w:spacing w:before="0"/>
              <w:ind w:left="153" w:hanging="1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règlement de fonctionnement interne au service ou charte de fonctionnement (si ces documents existent) ;</w:t>
            </w:r>
          </w:p>
          <w:p w14:paraId="2CABBE4F" w14:textId="77777777" w:rsidR="004164DC" w:rsidRPr="004164DC" w:rsidRDefault="004164DC" w:rsidP="00F1292F">
            <w:pPr>
              <w:pStyle w:val="07-Tableau00-P-Print"/>
              <w:spacing w:before="0"/>
              <w:ind w:left="153" w:hanging="1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plan détaillé des locaux avec leurs numéros et le nom des occupant·es ;</w:t>
            </w:r>
          </w:p>
          <w:p w14:paraId="53B0AAC6" w14:textId="77777777" w:rsidR="004164DC" w:rsidRPr="004164DC" w:rsidRDefault="004164DC" w:rsidP="00F1292F">
            <w:pPr>
              <w:pStyle w:val="07-Tableau00-P-Print"/>
              <w:spacing w:before="0"/>
              <w:ind w:left="153" w:hanging="1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exemplaire(s) de la documentation interne s’il en existe une ;</w:t>
            </w:r>
          </w:p>
          <w:p w14:paraId="3B94521C" w14:textId="77777777" w:rsidR="004164DC" w:rsidRPr="004164DC" w:rsidRDefault="004164DC" w:rsidP="00F1292F">
            <w:pPr>
              <w:pStyle w:val="07-Tableau00-P-Print"/>
              <w:spacing w:before="0"/>
              <w:ind w:left="153" w:hanging="15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rapports d’activité des trois dernières années.</w:t>
            </w:r>
          </w:p>
        </w:tc>
      </w:tr>
      <w:tr w:rsidR="004164DC" w:rsidRPr="004164DC" w14:paraId="5317429A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D6C75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02A6C66F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Mettre à disposition les documents relatifs aux différentes associations/commissions du personnel.</w:t>
            </w:r>
          </w:p>
        </w:tc>
      </w:tr>
      <w:tr w:rsidR="004164DC" w:rsidRPr="004164DC" w14:paraId="6F3E2BA7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2E337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72B39A95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 xml:space="preserve">Présenter la personne responsable des fournitures et du matériel, la ou le correspondant·e </w:t>
            </w:r>
            <w:r w:rsidRPr="004164DC">
              <w:rPr>
                <w:rFonts w:ascii="Arial" w:hAnsi="Arial" w:cs="Arial"/>
                <w:sz w:val="22"/>
                <w:szCs w:val="22"/>
              </w:rPr>
              <w:lastRenderedPageBreak/>
              <w:t>informatique (et la ou le répondant·e RH, si pas déjà fait).</w:t>
            </w:r>
          </w:p>
        </w:tc>
      </w:tr>
      <w:tr w:rsidR="004164DC" w:rsidRPr="004164DC" w14:paraId="758FC4D5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DAAAB" w14:textId="77777777" w:rsidR="004164DC" w:rsidRPr="004164DC" w:rsidRDefault="004164DC" w:rsidP="004164DC">
            <w:pPr>
              <w:pStyle w:val="07-Tableau00-P-Prin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70" w:type="dxa"/>
              <w:right w:w="57" w:type="dxa"/>
            </w:tcMar>
          </w:tcPr>
          <w:p w14:paraId="7029257B" w14:textId="77777777" w:rsidR="004164DC" w:rsidRPr="004164DC" w:rsidRDefault="004164DC" w:rsidP="00F1292F">
            <w:pPr>
              <w:pStyle w:val="07-Tableau00-P-Print"/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Fin de la première journée : rencontrer et demander à la personne embauchée si tout s’est bien passé (déroulement de la journée, équipement de la place de travail, autres questions et autres points à éclaircir dans l’immédiat).</w:t>
            </w:r>
          </w:p>
        </w:tc>
      </w:tr>
      <w:tr w:rsidR="004164DC" w:rsidRPr="004164DC" w14:paraId="542D5A64" w14:textId="77777777" w:rsidTr="009D320A">
        <w:trPr>
          <w:trHeight w:val="239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277F27FA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Les jours qui suivent l’arrivée de la personne embauchée</w:t>
            </w:r>
          </w:p>
        </w:tc>
      </w:tr>
      <w:tr w:rsidR="004164DC" w:rsidRPr="004164DC" w14:paraId="239C93F3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6AF18D7C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4FCDC21C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Garder un contact soit avec l’intéressé·e, soit avec le parrain ou la marraine de celui-ci ou celle-ci pour s’assurer du bon déroulement de l’intégration.</w:t>
            </w:r>
          </w:p>
        </w:tc>
      </w:tr>
      <w:tr w:rsidR="004164DC" w:rsidRPr="004164DC" w14:paraId="050FEBE6" w14:textId="77777777" w:rsidTr="009D320A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48E49AB5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Une semaine après l’arrivée de la personne embauchée</w:t>
            </w:r>
          </w:p>
        </w:tc>
      </w:tr>
      <w:tr w:rsidR="004164DC" w:rsidRPr="004164DC" w14:paraId="7E311C90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4ED9775F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07C566C9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Effectuer un point de situation au terme de la première semaine d’activité.</w:t>
            </w:r>
          </w:p>
          <w:p w14:paraId="3B04D661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 xml:space="preserve">Passer en revue la </w:t>
            </w:r>
            <w:r w:rsidRPr="004164DC">
              <w:rPr>
                <w:rFonts w:ascii="Arial" w:hAnsi="Arial" w:cs="Arial"/>
                <w:i/>
                <w:iCs/>
                <w:sz w:val="22"/>
                <w:szCs w:val="22"/>
              </w:rPr>
              <w:t>checklist</w:t>
            </w:r>
            <w:r w:rsidRPr="004164DC">
              <w:rPr>
                <w:rFonts w:ascii="Arial" w:hAnsi="Arial" w:cs="Arial"/>
                <w:sz w:val="22"/>
                <w:szCs w:val="22"/>
              </w:rPr>
              <w:t xml:space="preserve"> d’accueil pour voir si tous les points ont été réalisés ; plus particulièrement :</w:t>
            </w:r>
          </w:p>
          <w:p w14:paraId="43A12B45" w14:textId="77777777" w:rsidR="004164DC" w:rsidRPr="004164DC" w:rsidRDefault="004164DC" w:rsidP="00F1292F">
            <w:pPr>
              <w:pStyle w:val="07-Tableau00-P-Print"/>
              <w:spacing w:before="0" w:after="28"/>
              <w:ind w:left="147" w:hanging="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mesurer la compréhension de la description de poste et du cadre de compétences ;</w:t>
            </w:r>
          </w:p>
          <w:p w14:paraId="1905BC5A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examiner les autres questions de compréhension de l’environnement professionnel ou l’organisation du travail dans le service, dans l’équipe ;</w:t>
            </w:r>
          </w:p>
          <w:p w14:paraId="0C178AB6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planifier la période des trois semaines suivantes et fixer une entrevue pour la fin du premier mois.</w:t>
            </w:r>
          </w:p>
        </w:tc>
      </w:tr>
      <w:tr w:rsidR="004164DC" w:rsidRPr="004164DC" w14:paraId="53BDCFDF" w14:textId="77777777" w:rsidTr="009D320A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3D21C636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Un mois après l’arrivée de la personne embauchée</w:t>
            </w:r>
          </w:p>
        </w:tc>
      </w:tr>
      <w:tr w:rsidR="004164DC" w:rsidRPr="004164DC" w14:paraId="6AB2C5EB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33DC7814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8930" w:type="dxa"/>
            <w:tcBorders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2BF7577B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Effectuer un bilan au terme du premier mois d’activité.</w:t>
            </w:r>
          </w:p>
          <w:p w14:paraId="4AE3D6B6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Reprendre les points vus lors de l’entrevue précédente :</w:t>
            </w:r>
          </w:p>
          <w:p w14:paraId="21B0D378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parler des tâches fixées lors de l’accueil, vérifier si elles ont pu être réalisées ou non et pourquoi ;</w:t>
            </w:r>
          </w:p>
          <w:p w14:paraId="17AD63C9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examiner l’adéquation des connaissances/compétences de la personne embauchée avec le poste de travail ;</w:t>
            </w:r>
          </w:p>
          <w:p w14:paraId="71D9CA8B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chercher à connaître le degré de satisfaction et/ou d’insatisfaction de cette personne ;</w:t>
            </w:r>
          </w:p>
          <w:p w14:paraId="4B3C1CFF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examiner si les objectifs fixés à plus long terme sont réalistes ou non (comment sont-ils perçus ?) ;</w:t>
            </w:r>
          </w:p>
          <w:p w14:paraId="5C314F0E" w14:textId="765C975C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planifier la période des deux mois suivants et fixer une entrevue deux semaines avant la fin des trois mois (N</w:t>
            </w:r>
            <w:r w:rsidR="004507B6">
              <w:rPr>
                <w:rFonts w:ascii="Arial" w:hAnsi="Arial" w:cs="Arial"/>
                <w:sz w:val="22"/>
                <w:szCs w:val="22"/>
              </w:rPr>
              <w:t>.</w:t>
            </w:r>
            <w:r w:rsidRPr="004164DC">
              <w:rPr>
                <w:rFonts w:ascii="Arial" w:hAnsi="Arial" w:cs="Arial"/>
                <w:sz w:val="22"/>
                <w:szCs w:val="22"/>
              </w:rPr>
              <w:t>B</w:t>
            </w:r>
            <w:r w:rsidR="004507B6">
              <w:rPr>
                <w:rFonts w:ascii="Arial" w:hAnsi="Arial" w:cs="Arial"/>
                <w:sz w:val="22"/>
                <w:szCs w:val="22"/>
              </w:rPr>
              <w:t>.</w:t>
            </w:r>
            <w:r w:rsidRPr="004164DC">
              <w:rPr>
                <w:rFonts w:ascii="Arial" w:hAnsi="Arial" w:cs="Arial"/>
                <w:sz w:val="22"/>
                <w:szCs w:val="22"/>
              </w:rPr>
              <w:t> : dans le cas où la période d’essai est de trois mois).</w:t>
            </w:r>
          </w:p>
        </w:tc>
      </w:tr>
      <w:tr w:rsidR="004164DC" w:rsidRPr="004164DC" w14:paraId="5CDE6C45" w14:textId="77777777" w:rsidTr="009D320A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675FAF8C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Deux semaines avant la fin des trois premiers mois (après l’arrivée de la personne embauchée) = fin du temps d’essai</w:t>
            </w:r>
          </w:p>
        </w:tc>
      </w:tr>
      <w:tr w:rsidR="004164DC" w:rsidRPr="004164DC" w14:paraId="6ECEFD20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5BEC67CF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17575AC0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Effectuer un bilan au terme des trois premiers mois d’activité :</w:t>
            </w:r>
          </w:p>
          <w:p w14:paraId="0D413678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reprendre les éléments de l’entretien précédent ;</w:t>
            </w:r>
          </w:p>
          <w:p w14:paraId="19D34E59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vérifier si les objectifs fixés ont pu être atteints ou non et pourquoi ;</w:t>
            </w:r>
          </w:p>
          <w:p w14:paraId="5A715B03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</w:t>
            </w:r>
            <w:r w:rsidRPr="004164DC">
              <w:rPr>
                <w:rFonts w:ascii="Arial" w:hAnsi="Arial" w:cs="Arial"/>
                <w:spacing w:val="-3"/>
                <w:sz w:val="22"/>
                <w:szCs w:val="22"/>
              </w:rPr>
              <w:t>parler de l’intégration, des conditions de travail, de l’ambiance, de l’entente avec les collègues,</w:t>
            </w:r>
          </w:p>
          <w:p w14:paraId="49BD6226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échanger sur les motivations, les projets professionnels, les possibilités de formation (besoins de la personne, du service),</w:t>
            </w:r>
          </w:p>
          <w:p w14:paraId="016B2067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parler des conséquences de ces entretiens, comportements à modifier ou non, travail à améliorer ou non, compétences à acquérir (dans quel délai) ;</w:t>
            </w:r>
          </w:p>
          <w:p w14:paraId="05C6C5AC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prévoir la confirmation de l’embauche après la période d’essai ;</w:t>
            </w:r>
          </w:p>
          <w:p w14:paraId="3599F815" w14:textId="10B92903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 xml:space="preserve">–   planifier la période des trois mois suivants et fixer une entrevue pour la fin des </w:t>
            </w:r>
            <w:r w:rsidR="008C7845">
              <w:rPr>
                <w:rFonts w:ascii="Arial" w:hAnsi="Arial" w:cs="Arial"/>
                <w:sz w:val="22"/>
                <w:szCs w:val="22"/>
              </w:rPr>
              <w:t xml:space="preserve">six </w:t>
            </w:r>
            <w:r w:rsidRPr="004164DC">
              <w:rPr>
                <w:rFonts w:ascii="Arial" w:hAnsi="Arial" w:cs="Arial"/>
                <w:sz w:val="22"/>
                <w:szCs w:val="22"/>
              </w:rPr>
              <w:t>mois.</w:t>
            </w:r>
          </w:p>
        </w:tc>
      </w:tr>
      <w:tr w:rsidR="004164DC" w:rsidRPr="004164DC" w14:paraId="24B7ACF1" w14:textId="77777777" w:rsidTr="009D320A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15D197C2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t>Six mois après l’arrivée de la personne embauchée</w:t>
            </w:r>
          </w:p>
        </w:tc>
      </w:tr>
      <w:tr w:rsidR="004164DC" w:rsidRPr="004164DC" w14:paraId="3DE8BD8D" w14:textId="77777777" w:rsidTr="00B67910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35726D9F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01E43EF6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Effectuer un bilan au terme des six premiers mois d’activité :</w:t>
            </w:r>
          </w:p>
          <w:p w14:paraId="2C5020CF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reprendre les éléments de l’entretien précédent ;</w:t>
            </w:r>
          </w:p>
          <w:p w14:paraId="19077CF2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vérifier si les objectifs fixés ont pu être atteints ou non et pourquoi ;</w:t>
            </w:r>
          </w:p>
          <w:p w14:paraId="4F510EEE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parler de l’intégration, des conditions de travail, de l’ambiance, de l’entente avec les collègues, etc. ;</w:t>
            </w:r>
          </w:p>
          <w:p w14:paraId="73B69115" w14:textId="77777777" w:rsidR="004164DC" w:rsidRPr="004164DC" w:rsidRDefault="004164DC" w:rsidP="00F1292F">
            <w:pPr>
              <w:pStyle w:val="07-Tableau00-P-Print"/>
              <w:spacing w:before="0" w:after="28"/>
              <w:ind w:left="136" w:hanging="13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–   planifier la période des six mois suivants et annoncer l’entrevue de fin de première année.</w:t>
            </w:r>
          </w:p>
        </w:tc>
      </w:tr>
      <w:tr w:rsidR="004164DC" w:rsidRPr="004164DC" w14:paraId="7519BE08" w14:textId="77777777" w:rsidTr="00B67910">
        <w:trPr>
          <w:trHeight w:val="60"/>
        </w:trPr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24BCABDB" w14:textId="77777777" w:rsidR="004164DC" w:rsidRPr="004164DC" w:rsidRDefault="004164DC" w:rsidP="004164DC">
            <w:pPr>
              <w:pStyle w:val="07-Tableau00-P-Print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4D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Durant la seconde moitié de la première année</w:t>
            </w:r>
          </w:p>
        </w:tc>
      </w:tr>
      <w:tr w:rsidR="004164DC" w:rsidRPr="004164DC" w14:paraId="3FB30E15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779C3210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3E398513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Ne pas hésiter à faire encore un (ou des) bilan(s) intermédiaire(s), en fonction des besoins et apporter, le cas échéant, les mesures correctrices.</w:t>
            </w:r>
          </w:p>
        </w:tc>
      </w:tr>
      <w:tr w:rsidR="004164DC" w:rsidRPr="004164DC" w14:paraId="3455FA4B" w14:textId="77777777" w:rsidTr="009D320A">
        <w:trPr>
          <w:trHeight w:val="60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53300FD9" w14:textId="77777777" w:rsidR="004164DC" w:rsidRPr="004164DC" w:rsidRDefault="004164DC" w:rsidP="004164DC">
            <w:pPr>
              <w:pStyle w:val="07-Tableau00-P-Print"/>
              <w:spacing w:before="0" w:after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8930" w:type="dxa"/>
            <w:tcBorders>
              <w:top w:val="none" w:sz="4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1" w:type="dxa"/>
              <w:right w:w="57" w:type="dxa"/>
            </w:tcMar>
          </w:tcPr>
          <w:p w14:paraId="75DCD7F6" w14:textId="77777777" w:rsidR="004164DC" w:rsidRPr="004164DC" w:rsidRDefault="004164DC" w:rsidP="00F1292F">
            <w:pPr>
              <w:pStyle w:val="07-Tableau00-P-Print"/>
              <w:spacing w:before="0"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64DC">
              <w:rPr>
                <w:rFonts w:ascii="Arial" w:hAnsi="Arial" w:cs="Arial"/>
                <w:sz w:val="22"/>
                <w:szCs w:val="22"/>
              </w:rPr>
              <w:t xml:space="preserve">À la fin de la première année, faire un bilan formel en lien avec les </w:t>
            </w:r>
            <w:r w:rsidRPr="004164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prédictions </w:t>
            </w:r>
            <w:r w:rsidRPr="004164DC">
              <w:rPr>
                <w:rFonts w:ascii="Arial" w:hAnsi="Arial" w:cs="Arial"/>
                <w:sz w:val="22"/>
                <w:szCs w:val="22"/>
              </w:rPr>
              <w:t>réalisées au moment de l’embauche, et fournir les informations à la ou au professionnel·le RH ayant, le cas échéant, accompagné le processus, de manière à alimenter ses indicateurs et perfectionner sa pratique.</w:t>
            </w:r>
          </w:p>
        </w:tc>
      </w:tr>
      <w:bookmarkEnd w:id="0"/>
    </w:tbl>
    <w:p w14:paraId="616FE7E2" w14:textId="77777777" w:rsidR="004164DC" w:rsidRPr="004164DC" w:rsidRDefault="004164DC" w:rsidP="004164DC">
      <w:pPr>
        <w:pStyle w:val="01-Courant00-P-Print"/>
        <w:jc w:val="both"/>
        <w:rPr>
          <w:rFonts w:ascii="Arial" w:hAnsi="Arial" w:cs="Arial"/>
          <w:sz w:val="22"/>
          <w:szCs w:val="22"/>
          <w:lang w:val="fr-CH"/>
        </w:rPr>
      </w:pPr>
    </w:p>
    <w:sectPr w:rsidR="004164DC" w:rsidRPr="004164DC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48AB2" w14:textId="77777777" w:rsidR="000B5F44" w:rsidRDefault="000B5F44" w:rsidP="00BE7FCF">
      <w:pPr>
        <w:spacing w:after="0" w:line="240" w:lineRule="auto"/>
      </w:pPr>
      <w:r>
        <w:separator/>
      </w:r>
    </w:p>
  </w:endnote>
  <w:endnote w:type="continuationSeparator" w:id="0">
    <w:p w14:paraId="6D9472D1" w14:textId="77777777" w:rsidR="000B5F44" w:rsidRDefault="000B5F44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67E3AAA8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9D320A">
      <w:rPr>
        <w:rFonts w:ascii="Arial" w:hAnsi="Arial" w:cs="Arial"/>
        <w:noProof/>
        <w:sz w:val="16"/>
        <w:szCs w:val="16"/>
      </w:rPr>
      <w:t>20 Check-list d'accueil et d'intégration (tableau 7.15)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5F043" w14:textId="77777777" w:rsidR="000B5F44" w:rsidRDefault="000B5F44" w:rsidP="00BE7FCF">
      <w:pPr>
        <w:spacing w:after="0" w:line="240" w:lineRule="auto"/>
      </w:pPr>
      <w:r>
        <w:separator/>
      </w:r>
    </w:p>
  </w:footnote>
  <w:footnote w:type="continuationSeparator" w:id="0">
    <w:p w14:paraId="5D3FE585" w14:textId="77777777" w:rsidR="000B5F44" w:rsidRDefault="000B5F44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5944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090D37"/>
    <w:rsid w:val="000B5F44"/>
    <w:rsid w:val="001848ED"/>
    <w:rsid w:val="001A4974"/>
    <w:rsid w:val="00200E9F"/>
    <w:rsid w:val="00213277"/>
    <w:rsid w:val="002F247A"/>
    <w:rsid w:val="0030471E"/>
    <w:rsid w:val="00341891"/>
    <w:rsid w:val="00372355"/>
    <w:rsid w:val="003837AB"/>
    <w:rsid w:val="003843AD"/>
    <w:rsid w:val="004164DC"/>
    <w:rsid w:val="004507B6"/>
    <w:rsid w:val="00456A9A"/>
    <w:rsid w:val="005366D4"/>
    <w:rsid w:val="005E3BB8"/>
    <w:rsid w:val="006241E9"/>
    <w:rsid w:val="0064524E"/>
    <w:rsid w:val="006A3D17"/>
    <w:rsid w:val="007B7607"/>
    <w:rsid w:val="00842CEF"/>
    <w:rsid w:val="008C7845"/>
    <w:rsid w:val="00962767"/>
    <w:rsid w:val="009B564C"/>
    <w:rsid w:val="009C74A6"/>
    <w:rsid w:val="009D320A"/>
    <w:rsid w:val="009D5CAD"/>
    <w:rsid w:val="00A01FEF"/>
    <w:rsid w:val="00A63BF9"/>
    <w:rsid w:val="00A81669"/>
    <w:rsid w:val="00AD3474"/>
    <w:rsid w:val="00AF36D9"/>
    <w:rsid w:val="00B67910"/>
    <w:rsid w:val="00BE3A07"/>
    <w:rsid w:val="00BE7FCF"/>
    <w:rsid w:val="00C229A8"/>
    <w:rsid w:val="00C40B64"/>
    <w:rsid w:val="00C53091"/>
    <w:rsid w:val="00DE6D45"/>
    <w:rsid w:val="00E87C77"/>
    <w:rsid w:val="00E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9</cp:revision>
  <dcterms:created xsi:type="dcterms:W3CDTF">2024-07-08T18:23:00Z</dcterms:created>
  <dcterms:modified xsi:type="dcterms:W3CDTF">2024-08-28T09:04:00Z</dcterms:modified>
</cp:coreProperties>
</file>